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3348"/>
        <w:gridCol w:w="6210"/>
      </w:tblGrid>
      <w:tr w:rsidR="008023B4" w:rsidRPr="00BA00FB" w:rsidTr="00BA00FB">
        <w:tc>
          <w:tcPr>
            <w:tcW w:w="3348" w:type="dxa"/>
            <w:tcMar>
              <w:top w:w="0" w:type="dxa"/>
              <w:left w:w="108" w:type="dxa"/>
              <w:bottom w:w="0" w:type="dxa"/>
              <w:right w:w="108" w:type="dxa"/>
            </w:tcMar>
            <w:hideMark/>
          </w:tcPr>
          <w:p w:rsidR="008023B4" w:rsidRPr="00BA00FB" w:rsidRDefault="00BA2891" w:rsidP="00BA00FB">
            <w:pPr>
              <w:pStyle w:val="NormalWeb"/>
              <w:spacing w:after="120" w:afterAutospacing="0"/>
              <w:jc w:val="center"/>
              <w:rPr>
                <w:sz w:val="26"/>
                <w:szCs w:val="26"/>
              </w:rPr>
            </w:pPr>
            <w:r w:rsidRPr="00BA2891">
              <w:rPr>
                <w:b/>
                <w:bCs/>
                <w:noProof/>
                <w:sz w:val="26"/>
                <w:szCs w:val="26"/>
              </w:rPr>
              <w:pict>
                <v:line id="_x0000_s1026" style="position:absolute;left:0;text-align:left;z-index:251658240" from="44.1pt,32.25pt" to="99.3pt,32.3pt"/>
              </w:pict>
            </w:r>
            <w:r w:rsidR="008023B4" w:rsidRPr="00BA00FB">
              <w:rPr>
                <w:b/>
                <w:bCs/>
                <w:sz w:val="26"/>
                <w:szCs w:val="26"/>
              </w:rPr>
              <w:t>UỶ BAN NHÂN DÂN</w:t>
            </w:r>
            <w:r w:rsidR="008023B4" w:rsidRPr="00BA00FB">
              <w:rPr>
                <w:b/>
                <w:bCs/>
                <w:sz w:val="26"/>
                <w:szCs w:val="26"/>
              </w:rPr>
              <w:br/>
              <w:t>TỈNH THÁI BÌNH</w:t>
            </w:r>
            <w:r w:rsidR="008023B4" w:rsidRPr="00BA00FB">
              <w:rPr>
                <w:b/>
                <w:bCs/>
                <w:sz w:val="26"/>
                <w:szCs w:val="26"/>
              </w:rPr>
              <w:br/>
            </w:r>
          </w:p>
        </w:tc>
        <w:tc>
          <w:tcPr>
            <w:tcW w:w="6210" w:type="dxa"/>
            <w:tcMar>
              <w:top w:w="0" w:type="dxa"/>
              <w:left w:w="108" w:type="dxa"/>
              <w:bottom w:w="0" w:type="dxa"/>
              <w:right w:w="108" w:type="dxa"/>
            </w:tcMar>
            <w:hideMark/>
          </w:tcPr>
          <w:p w:rsidR="008023B4" w:rsidRPr="00BA00FB" w:rsidRDefault="00BA2891" w:rsidP="00BA00FB">
            <w:pPr>
              <w:pStyle w:val="NormalWeb"/>
              <w:spacing w:after="120" w:afterAutospacing="0"/>
              <w:jc w:val="center"/>
              <w:rPr>
                <w:sz w:val="26"/>
                <w:szCs w:val="26"/>
              </w:rPr>
            </w:pPr>
            <w:r w:rsidRPr="00BA2891">
              <w:rPr>
                <w:b/>
                <w:bCs/>
                <w:noProof/>
                <w:sz w:val="26"/>
                <w:szCs w:val="26"/>
              </w:rPr>
              <w:pict>
                <v:line id="_x0000_s1027" style="position:absolute;left:0;text-align:left;flip:y;z-index:251659264;mso-position-horizontal-relative:text;mso-position-vertical-relative:text" from="84.15pt,32.4pt" to="214.65pt,32.45pt"/>
              </w:pict>
            </w:r>
            <w:r w:rsidR="008023B4" w:rsidRPr="00BA00FB">
              <w:rPr>
                <w:b/>
                <w:bCs/>
                <w:sz w:val="26"/>
                <w:szCs w:val="26"/>
              </w:rPr>
              <w:t>CỘNG HÒA XÃ HỘI CHỦ NGHĨA VIỆT NAM</w:t>
            </w:r>
            <w:r w:rsidR="008023B4" w:rsidRPr="00BA00FB">
              <w:rPr>
                <w:b/>
                <w:bCs/>
                <w:sz w:val="26"/>
                <w:szCs w:val="26"/>
              </w:rPr>
              <w:br/>
              <w:t xml:space="preserve">Độc lập - Tự do - Hạnh phúc </w:t>
            </w:r>
            <w:r w:rsidR="008023B4" w:rsidRPr="00BA00FB">
              <w:rPr>
                <w:b/>
                <w:bCs/>
                <w:sz w:val="26"/>
                <w:szCs w:val="26"/>
              </w:rPr>
              <w:br/>
            </w:r>
          </w:p>
        </w:tc>
      </w:tr>
      <w:tr w:rsidR="008023B4" w:rsidRPr="00BA00FB" w:rsidTr="00BA00FB">
        <w:tc>
          <w:tcPr>
            <w:tcW w:w="3348" w:type="dxa"/>
            <w:tcMar>
              <w:top w:w="0" w:type="dxa"/>
              <w:left w:w="108" w:type="dxa"/>
              <w:bottom w:w="0" w:type="dxa"/>
              <w:right w:w="108" w:type="dxa"/>
            </w:tcMar>
            <w:hideMark/>
          </w:tcPr>
          <w:p w:rsidR="008023B4" w:rsidRPr="00BA00FB" w:rsidRDefault="008023B4" w:rsidP="00217B25">
            <w:pPr>
              <w:pStyle w:val="NormalWeb"/>
              <w:spacing w:after="120" w:afterAutospacing="0"/>
              <w:jc w:val="center"/>
              <w:rPr>
                <w:sz w:val="26"/>
                <w:szCs w:val="26"/>
              </w:rPr>
            </w:pPr>
          </w:p>
        </w:tc>
        <w:tc>
          <w:tcPr>
            <w:tcW w:w="6210" w:type="dxa"/>
            <w:tcMar>
              <w:top w:w="0" w:type="dxa"/>
              <w:left w:w="108" w:type="dxa"/>
              <w:bottom w:w="0" w:type="dxa"/>
              <w:right w:w="108" w:type="dxa"/>
            </w:tcMar>
            <w:hideMark/>
          </w:tcPr>
          <w:p w:rsidR="008023B4" w:rsidRPr="00BA00FB" w:rsidRDefault="008023B4" w:rsidP="00217B25">
            <w:pPr>
              <w:pStyle w:val="NormalWeb"/>
              <w:spacing w:after="120" w:afterAutospacing="0"/>
              <w:jc w:val="right"/>
              <w:rPr>
                <w:sz w:val="26"/>
                <w:szCs w:val="26"/>
              </w:rPr>
            </w:pPr>
          </w:p>
        </w:tc>
      </w:tr>
    </w:tbl>
    <w:p w:rsidR="008023B4" w:rsidRPr="00EC4CB3" w:rsidRDefault="008023B4" w:rsidP="008023B4">
      <w:pPr>
        <w:pStyle w:val="NormalWeb"/>
        <w:spacing w:after="120" w:afterAutospacing="0"/>
        <w:jc w:val="center"/>
        <w:rPr>
          <w:sz w:val="28"/>
          <w:szCs w:val="28"/>
        </w:rPr>
      </w:pPr>
      <w:r w:rsidRPr="00EC4CB3">
        <w:rPr>
          <w:b/>
          <w:bCs/>
          <w:sz w:val="28"/>
          <w:szCs w:val="28"/>
        </w:rPr>
        <w:t>QUY ĐỊNH</w:t>
      </w:r>
    </w:p>
    <w:p w:rsidR="004B4D41" w:rsidRDefault="008023B4" w:rsidP="004B4D41">
      <w:pPr>
        <w:pStyle w:val="NormalWeb"/>
        <w:spacing w:before="0" w:beforeAutospacing="0" w:after="0" w:afterAutospacing="0"/>
        <w:jc w:val="center"/>
        <w:rPr>
          <w:i/>
          <w:iCs/>
          <w:sz w:val="26"/>
          <w:szCs w:val="26"/>
        </w:rPr>
      </w:pPr>
      <w:r w:rsidRPr="004B4D41">
        <w:rPr>
          <w:sz w:val="26"/>
          <w:szCs w:val="26"/>
        </w:rPr>
        <w:t xml:space="preserve">MỘT SỐ CƠ CHẾ, CHÍNH SÁCH HỖ TRỢ TĂNG CƯỜNG NĂNG LỰC CHỦ ĐỘNG KIỂM SOÁT DỊCH BỆNH TRÊN GIA SÚC, GIA CẦM Ở TỈNH THÁI BÌNH </w:t>
      </w:r>
      <w:r w:rsidRPr="004B4D41">
        <w:rPr>
          <w:sz w:val="26"/>
          <w:szCs w:val="26"/>
        </w:rPr>
        <w:br/>
      </w:r>
      <w:r w:rsidRPr="004B4D41">
        <w:rPr>
          <w:i/>
          <w:iCs/>
          <w:sz w:val="26"/>
          <w:szCs w:val="26"/>
        </w:rPr>
        <w:t xml:space="preserve">(Ban hành kèm </w:t>
      </w:r>
      <w:proofErr w:type="gramStart"/>
      <w:r w:rsidRPr="004B4D41">
        <w:rPr>
          <w:i/>
          <w:iCs/>
          <w:sz w:val="26"/>
          <w:szCs w:val="26"/>
        </w:rPr>
        <w:t>theo</w:t>
      </w:r>
      <w:proofErr w:type="gramEnd"/>
      <w:r w:rsidRPr="004B4D41">
        <w:rPr>
          <w:i/>
          <w:iCs/>
          <w:sz w:val="26"/>
          <w:szCs w:val="26"/>
        </w:rPr>
        <w:t xml:space="preserve"> Quyết định số 04/2012/QĐ-UBND ngày 18 tháng 01 năm 2012 </w:t>
      </w:r>
    </w:p>
    <w:p w:rsidR="008023B4" w:rsidRDefault="008023B4" w:rsidP="004B4D41">
      <w:pPr>
        <w:pStyle w:val="NormalWeb"/>
        <w:spacing w:before="0" w:beforeAutospacing="0" w:after="0" w:afterAutospacing="0"/>
        <w:jc w:val="center"/>
        <w:rPr>
          <w:i/>
          <w:iCs/>
          <w:sz w:val="26"/>
          <w:szCs w:val="26"/>
        </w:rPr>
      </w:pPr>
      <w:proofErr w:type="gramStart"/>
      <w:r w:rsidRPr="004B4D41">
        <w:rPr>
          <w:i/>
          <w:iCs/>
          <w:sz w:val="26"/>
          <w:szCs w:val="26"/>
        </w:rPr>
        <w:t>của</w:t>
      </w:r>
      <w:proofErr w:type="gramEnd"/>
      <w:r w:rsidRPr="004B4D41">
        <w:rPr>
          <w:i/>
          <w:iCs/>
          <w:sz w:val="26"/>
          <w:szCs w:val="26"/>
        </w:rPr>
        <w:t xml:space="preserve"> UBND tỉnh).</w:t>
      </w:r>
    </w:p>
    <w:p w:rsidR="004B4D41" w:rsidRPr="004B4D41" w:rsidRDefault="004B4D41" w:rsidP="004B4D41">
      <w:pPr>
        <w:pStyle w:val="NormalWeb"/>
        <w:spacing w:before="0" w:beforeAutospacing="0" w:after="0" w:afterAutospacing="0"/>
        <w:jc w:val="center"/>
        <w:rPr>
          <w:sz w:val="26"/>
          <w:szCs w:val="26"/>
        </w:rPr>
      </w:pPr>
      <w:r>
        <w:rPr>
          <w:noProof/>
          <w:sz w:val="26"/>
          <w:szCs w:val="26"/>
        </w:rPr>
        <w:pict>
          <v:line id="_x0000_s1029" style="position:absolute;left:0;text-align:left;flip:y;z-index:251660288" from="172.8pt,5.15pt" to="303.3pt,5.2pt"/>
        </w:pict>
      </w:r>
    </w:p>
    <w:p w:rsidR="008023B4" w:rsidRPr="004B4D41" w:rsidRDefault="008023B4" w:rsidP="00EC4CB3">
      <w:pPr>
        <w:pStyle w:val="NormalWeb"/>
        <w:spacing w:before="120" w:beforeAutospacing="0" w:after="120" w:afterAutospacing="0" w:line="360" w:lineRule="exact"/>
        <w:ind w:firstLine="567"/>
        <w:jc w:val="center"/>
        <w:rPr>
          <w:sz w:val="26"/>
          <w:szCs w:val="26"/>
        </w:rPr>
      </w:pPr>
      <w:r w:rsidRPr="004B4D41">
        <w:rPr>
          <w:b/>
          <w:bCs/>
          <w:sz w:val="26"/>
          <w:szCs w:val="26"/>
        </w:rPr>
        <w:t>Chương I</w:t>
      </w:r>
    </w:p>
    <w:p w:rsidR="008023B4" w:rsidRPr="004B4D41" w:rsidRDefault="008023B4" w:rsidP="00EC4CB3">
      <w:pPr>
        <w:pStyle w:val="NormalWeb"/>
        <w:spacing w:before="120" w:beforeAutospacing="0" w:after="120" w:afterAutospacing="0" w:line="360" w:lineRule="exact"/>
        <w:ind w:firstLine="567"/>
        <w:jc w:val="center"/>
        <w:rPr>
          <w:sz w:val="26"/>
          <w:szCs w:val="26"/>
        </w:rPr>
      </w:pPr>
      <w:r w:rsidRPr="004B4D41">
        <w:rPr>
          <w:b/>
          <w:bCs/>
          <w:sz w:val="26"/>
          <w:szCs w:val="26"/>
        </w:rPr>
        <w:t>QUY ĐỊNH CHUNG</w:t>
      </w:r>
    </w:p>
    <w:p w:rsidR="008023B4" w:rsidRPr="004B4D41" w:rsidRDefault="008023B4" w:rsidP="004B4D41">
      <w:pPr>
        <w:pStyle w:val="NormalWeb"/>
        <w:spacing w:before="120" w:beforeAutospacing="0" w:after="120" w:afterAutospacing="0" w:line="360" w:lineRule="exact"/>
        <w:ind w:firstLine="567"/>
        <w:jc w:val="both"/>
        <w:rPr>
          <w:sz w:val="26"/>
          <w:szCs w:val="26"/>
        </w:rPr>
      </w:pPr>
      <w:proofErr w:type="gramStart"/>
      <w:r w:rsidRPr="004B4D41">
        <w:rPr>
          <w:b/>
          <w:bCs/>
          <w:sz w:val="26"/>
          <w:szCs w:val="26"/>
        </w:rPr>
        <w:t>Điều 1.</w:t>
      </w:r>
      <w:proofErr w:type="gramEnd"/>
      <w:r w:rsidRPr="004B4D41">
        <w:rPr>
          <w:b/>
          <w:bCs/>
          <w:sz w:val="26"/>
          <w:szCs w:val="26"/>
        </w:rPr>
        <w:t xml:space="preserve"> </w:t>
      </w:r>
      <w:r w:rsidRPr="004B4D41">
        <w:rPr>
          <w:sz w:val="26"/>
          <w:szCs w:val="26"/>
        </w:rPr>
        <w:t>Chính sách hỗ trợ tăng cường năng lực chủ động kiểm soát dịch bệnh trên đàn gia súc, gia cầm nhằm chủ động kiểm soát dịch bệnh trên đàn gia súc, gia cầm tỉnh Thái Bình, góp phần phát triển sản xuất chăn nuôi hàng hoá thực hiện mục tiêu tăng trưởng kinh tế của tỉnh.</w:t>
      </w:r>
    </w:p>
    <w:p w:rsidR="008023B4" w:rsidRPr="004B4D41" w:rsidRDefault="008023B4" w:rsidP="004B4D41">
      <w:pPr>
        <w:pStyle w:val="NormalWeb"/>
        <w:spacing w:before="120" w:beforeAutospacing="0" w:after="120" w:afterAutospacing="0" w:line="360" w:lineRule="exact"/>
        <w:ind w:firstLine="567"/>
        <w:jc w:val="both"/>
        <w:rPr>
          <w:sz w:val="26"/>
          <w:szCs w:val="26"/>
        </w:rPr>
      </w:pPr>
      <w:proofErr w:type="gramStart"/>
      <w:r w:rsidRPr="004B4D41">
        <w:rPr>
          <w:b/>
          <w:bCs/>
          <w:sz w:val="26"/>
          <w:szCs w:val="26"/>
        </w:rPr>
        <w:t>Điều 2.</w:t>
      </w:r>
      <w:proofErr w:type="gramEnd"/>
      <w:r w:rsidRPr="004B4D41">
        <w:rPr>
          <w:b/>
          <w:bCs/>
          <w:sz w:val="26"/>
          <w:szCs w:val="26"/>
        </w:rPr>
        <w:t xml:space="preserve"> Phạm </w:t>
      </w:r>
      <w:proofErr w:type="gramStart"/>
      <w:r w:rsidRPr="004B4D41">
        <w:rPr>
          <w:b/>
          <w:bCs/>
          <w:sz w:val="26"/>
          <w:szCs w:val="26"/>
        </w:rPr>
        <w:t>vi</w:t>
      </w:r>
      <w:proofErr w:type="gramEnd"/>
      <w:r w:rsidRPr="004B4D41">
        <w:rPr>
          <w:b/>
          <w:bCs/>
          <w:sz w:val="26"/>
          <w:szCs w:val="26"/>
        </w:rPr>
        <w:t xml:space="preserve"> điều chỉnh</w:t>
      </w:r>
    </w:p>
    <w:p w:rsidR="008023B4" w:rsidRPr="004B4D41" w:rsidRDefault="008023B4" w:rsidP="004B4D41">
      <w:pPr>
        <w:pStyle w:val="NormalWeb"/>
        <w:spacing w:before="120" w:beforeAutospacing="0" w:after="120" w:afterAutospacing="0" w:line="360" w:lineRule="exact"/>
        <w:ind w:firstLine="567"/>
        <w:jc w:val="both"/>
        <w:rPr>
          <w:sz w:val="26"/>
          <w:szCs w:val="26"/>
        </w:rPr>
      </w:pPr>
      <w:proofErr w:type="gramStart"/>
      <w:r w:rsidRPr="004B4D41">
        <w:rPr>
          <w:sz w:val="26"/>
          <w:szCs w:val="26"/>
        </w:rPr>
        <w:t>Quy định một số cơ chế, chính sách hỗ trợ từ nguồn ngân sách nhà nước cho công tác tăng cường năng lực chủ động kiểm soát dịch bệnh trên gia súc, gia cầm ở tỉnh Thái Bình.</w:t>
      </w:r>
      <w:proofErr w:type="gramEnd"/>
    </w:p>
    <w:p w:rsidR="008023B4" w:rsidRPr="004B4D41" w:rsidRDefault="008023B4" w:rsidP="004B4D41">
      <w:pPr>
        <w:pStyle w:val="NormalWeb"/>
        <w:spacing w:before="120" w:beforeAutospacing="0" w:after="120" w:afterAutospacing="0" w:line="360" w:lineRule="exact"/>
        <w:ind w:firstLine="567"/>
        <w:jc w:val="both"/>
        <w:rPr>
          <w:sz w:val="26"/>
          <w:szCs w:val="26"/>
        </w:rPr>
      </w:pPr>
      <w:proofErr w:type="gramStart"/>
      <w:r w:rsidRPr="004B4D41">
        <w:rPr>
          <w:b/>
          <w:bCs/>
          <w:sz w:val="26"/>
          <w:szCs w:val="26"/>
        </w:rPr>
        <w:t>Điều 3.</w:t>
      </w:r>
      <w:proofErr w:type="gramEnd"/>
      <w:r w:rsidRPr="004B4D41">
        <w:rPr>
          <w:b/>
          <w:bCs/>
          <w:sz w:val="26"/>
          <w:szCs w:val="26"/>
        </w:rPr>
        <w:t xml:space="preserve"> Đối tượng áp dụng</w:t>
      </w:r>
    </w:p>
    <w:p w:rsidR="008023B4" w:rsidRPr="004B4D41" w:rsidRDefault="008023B4" w:rsidP="004B4D41">
      <w:pPr>
        <w:pStyle w:val="NormalWeb"/>
        <w:spacing w:before="120" w:beforeAutospacing="0" w:after="120" w:afterAutospacing="0" w:line="360" w:lineRule="exact"/>
        <w:ind w:firstLine="567"/>
        <w:jc w:val="both"/>
        <w:rPr>
          <w:sz w:val="26"/>
          <w:szCs w:val="26"/>
        </w:rPr>
      </w:pPr>
      <w:proofErr w:type="gramStart"/>
      <w:r w:rsidRPr="004B4D41">
        <w:rPr>
          <w:sz w:val="26"/>
          <w:szCs w:val="26"/>
        </w:rPr>
        <w:t>Các cơ quan, tổ chức, cá nhân tham gia thực hiện kiểm soát dịch bệnh gia súc, gia cầm trên địa bàn ở tỉnh Thái Bình.</w:t>
      </w:r>
      <w:proofErr w:type="gramEnd"/>
    </w:p>
    <w:p w:rsidR="008023B4" w:rsidRPr="004B4D41" w:rsidRDefault="008023B4" w:rsidP="00EC4CB3">
      <w:pPr>
        <w:pStyle w:val="NormalWeb"/>
        <w:spacing w:before="120" w:beforeAutospacing="0" w:after="120" w:afterAutospacing="0" w:line="360" w:lineRule="exact"/>
        <w:ind w:firstLine="567"/>
        <w:jc w:val="center"/>
        <w:rPr>
          <w:sz w:val="26"/>
          <w:szCs w:val="26"/>
        </w:rPr>
      </w:pPr>
      <w:r w:rsidRPr="004B4D41">
        <w:rPr>
          <w:b/>
          <w:bCs/>
          <w:sz w:val="26"/>
          <w:szCs w:val="26"/>
        </w:rPr>
        <w:t>Chương II</w:t>
      </w:r>
    </w:p>
    <w:p w:rsidR="008023B4" w:rsidRPr="004B4D41" w:rsidRDefault="008023B4" w:rsidP="00EC4CB3">
      <w:pPr>
        <w:pStyle w:val="NormalWeb"/>
        <w:spacing w:before="120" w:beforeAutospacing="0" w:after="120" w:afterAutospacing="0" w:line="360" w:lineRule="exact"/>
        <w:ind w:firstLine="567"/>
        <w:jc w:val="center"/>
        <w:rPr>
          <w:sz w:val="26"/>
          <w:szCs w:val="26"/>
        </w:rPr>
      </w:pPr>
      <w:r w:rsidRPr="004B4D41">
        <w:rPr>
          <w:b/>
          <w:bCs/>
          <w:sz w:val="26"/>
          <w:szCs w:val="26"/>
        </w:rPr>
        <w:t>CƠ CHẾ, CHÍNH SÁCH HỖ TRỢ</w:t>
      </w:r>
    </w:p>
    <w:p w:rsidR="008023B4" w:rsidRPr="004B4D41" w:rsidRDefault="008023B4" w:rsidP="004B4D41">
      <w:pPr>
        <w:pStyle w:val="NormalWeb"/>
        <w:spacing w:before="120" w:beforeAutospacing="0" w:after="120" w:afterAutospacing="0" w:line="360" w:lineRule="exact"/>
        <w:ind w:firstLine="567"/>
        <w:jc w:val="both"/>
        <w:rPr>
          <w:sz w:val="26"/>
          <w:szCs w:val="26"/>
        </w:rPr>
      </w:pPr>
      <w:proofErr w:type="gramStart"/>
      <w:r w:rsidRPr="004B4D41">
        <w:rPr>
          <w:b/>
          <w:bCs/>
          <w:sz w:val="26"/>
          <w:szCs w:val="26"/>
        </w:rPr>
        <w:t>Điều 4.</w:t>
      </w:r>
      <w:proofErr w:type="gramEnd"/>
      <w:r w:rsidRPr="004B4D41">
        <w:rPr>
          <w:b/>
          <w:bCs/>
          <w:sz w:val="26"/>
          <w:szCs w:val="26"/>
        </w:rPr>
        <w:t xml:space="preserve"> Hỗ trợ tiêm vắc xin phòng bệnh hàng năm </w:t>
      </w:r>
    </w:p>
    <w:p w:rsidR="008023B4" w:rsidRPr="004B4D41" w:rsidRDefault="008023B4" w:rsidP="004B4D41">
      <w:pPr>
        <w:pStyle w:val="NormalWeb"/>
        <w:spacing w:before="120" w:beforeAutospacing="0" w:after="120" w:afterAutospacing="0" w:line="360" w:lineRule="exact"/>
        <w:ind w:firstLine="567"/>
        <w:jc w:val="both"/>
        <w:rPr>
          <w:sz w:val="26"/>
          <w:szCs w:val="26"/>
        </w:rPr>
      </w:pPr>
      <w:r w:rsidRPr="004B4D41">
        <w:rPr>
          <w:sz w:val="26"/>
          <w:szCs w:val="26"/>
        </w:rPr>
        <w:t>1. Ngân sách tỉnh hỗ trợ 100% kinh phí mua vắc xin tiêm phòng các bệnh nguy hiểm ở vật nuôi tại các hộ gia đình, gia trại (đối với chăn nuôi trang trại, chủ trang trại tự mua vắc xin tiêm phòng); bao gồm:</w:t>
      </w:r>
    </w:p>
    <w:p w:rsidR="008023B4" w:rsidRPr="004B4D41" w:rsidRDefault="008023B4" w:rsidP="004B4D41">
      <w:pPr>
        <w:pStyle w:val="NormalWeb"/>
        <w:spacing w:before="120" w:beforeAutospacing="0" w:after="120" w:afterAutospacing="0" w:line="360" w:lineRule="exact"/>
        <w:ind w:firstLine="567"/>
        <w:jc w:val="both"/>
        <w:rPr>
          <w:sz w:val="26"/>
          <w:szCs w:val="26"/>
        </w:rPr>
      </w:pPr>
      <w:r w:rsidRPr="004B4D41">
        <w:rPr>
          <w:sz w:val="26"/>
          <w:szCs w:val="26"/>
        </w:rPr>
        <w:t>a) Vắc xin phòng các bệnh đỏ cho đàn lợn (dịch tả, tụ huyết trùng, đóng dấu và phó thương hàn).</w:t>
      </w:r>
    </w:p>
    <w:p w:rsidR="008023B4" w:rsidRPr="004B4D41" w:rsidRDefault="008023B4" w:rsidP="004B4D41">
      <w:pPr>
        <w:pStyle w:val="NormalWeb"/>
        <w:spacing w:before="120" w:beforeAutospacing="0" w:after="120" w:afterAutospacing="0" w:line="360" w:lineRule="exact"/>
        <w:ind w:firstLine="567"/>
        <w:jc w:val="both"/>
        <w:rPr>
          <w:sz w:val="26"/>
          <w:szCs w:val="26"/>
        </w:rPr>
      </w:pPr>
      <w:r w:rsidRPr="004B4D41">
        <w:rPr>
          <w:sz w:val="26"/>
          <w:szCs w:val="26"/>
        </w:rPr>
        <w:lastRenderedPageBreak/>
        <w:t xml:space="preserve">b) Vắc xin phòng bệnh lở mồm long móng cho đàn trâu bò và đàn lợn nái, đực giống. </w:t>
      </w:r>
    </w:p>
    <w:p w:rsidR="008023B4" w:rsidRPr="004B4D41" w:rsidRDefault="008023B4" w:rsidP="004B4D41">
      <w:pPr>
        <w:pStyle w:val="NormalWeb"/>
        <w:spacing w:before="120" w:beforeAutospacing="0" w:after="120" w:afterAutospacing="0" w:line="360" w:lineRule="exact"/>
        <w:ind w:firstLine="567"/>
        <w:jc w:val="both"/>
        <w:rPr>
          <w:sz w:val="26"/>
          <w:szCs w:val="26"/>
        </w:rPr>
      </w:pPr>
      <w:r w:rsidRPr="004B4D41">
        <w:rPr>
          <w:sz w:val="26"/>
          <w:szCs w:val="26"/>
        </w:rPr>
        <w:t xml:space="preserve">2. Ngân sách tỉnh hỗ trợ công tiêm phòng vắc xin cúm gia cầm với mức hỗ trợ 200 đồng/lần tiêm </w:t>
      </w:r>
      <w:proofErr w:type="gramStart"/>
      <w:r w:rsidRPr="004B4D41">
        <w:rPr>
          <w:sz w:val="26"/>
          <w:szCs w:val="26"/>
        </w:rPr>
        <w:t>theo</w:t>
      </w:r>
      <w:proofErr w:type="gramEnd"/>
      <w:r w:rsidRPr="004B4D41">
        <w:rPr>
          <w:sz w:val="26"/>
          <w:szCs w:val="26"/>
        </w:rPr>
        <w:t xml:space="preserve"> quy định tại Thông tư 136/2010/TT-BTC ngày 13/9/2010 của Bộ Tài chính về hướng dẫn chế độ thu, nộp và quản lý sử dụng phí, lệ phí trong công tác thú y. </w:t>
      </w:r>
    </w:p>
    <w:p w:rsidR="008023B4" w:rsidRPr="004B4D41" w:rsidRDefault="008023B4" w:rsidP="004B4D41">
      <w:pPr>
        <w:pStyle w:val="NormalWeb"/>
        <w:spacing w:before="120" w:beforeAutospacing="0" w:after="120" w:afterAutospacing="0" w:line="360" w:lineRule="exact"/>
        <w:ind w:firstLine="567"/>
        <w:jc w:val="both"/>
        <w:rPr>
          <w:sz w:val="26"/>
          <w:szCs w:val="26"/>
        </w:rPr>
      </w:pPr>
      <w:r w:rsidRPr="004B4D41">
        <w:rPr>
          <w:sz w:val="26"/>
          <w:szCs w:val="26"/>
        </w:rPr>
        <w:t xml:space="preserve">3. Kinh phí triển khai, tổ chức công tác tiêm phòng (họp, kiểm tra, mua sắm vật tư, dụng cụ bảo hộ </w:t>
      </w:r>
      <w:proofErr w:type="gramStart"/>
      <w:r w:rsidRPr="004B4D41">
        <w:rPr>
          <w:sz w:val="26"/>
          <w:szCs w:val="26"/>
        </w:rPr>
        <w:t>lao</w:t>
      </w:r>
      <w:proofErr w:type="gramEnd"/>
      <w:r w:rsidRPr="004B4D41">
        <w:rPr>
          <w:sz w:val="26"/>
          <w:szCs w:val="26"/>
        </w:rPr>
        <w:t xml:space="preserve"> động…) hàng năm ở cấp nào, ngân sách cấp đó đảm nhiệm.</w:t>
      </w:r>
    </w:p>
    <w:p w:rsidR="008023B4" w:rsidRPr="004B4D41" w:rsidRDefault="008023B4" w:rsidP="004B4D41">
      <w:pPr>
        <w:pStyle w:val="NormalWeb"/>
        <w:spacing w:before="120" w:beforeAutospacing="0" w:after="120" w:afterAutospacing="0" w:line="360" w:lineRule="exact"/>
        <w:ind w:firstLine="567"/>
        <w:jc w:val="both"/>
        <w:rPr>
          <w:sz w:val="26"/>
          <w:szCs w:val="26"/>
        </w:rPr>
      </w:pPr>
      <w:proofErr w:type="gramStart"/>
      <w:r w:rsidRPr="004B4D41">
        <w:rPr>
          <w:b/>
          <w:bCs/>
          <w:sz w:val="26"/>
          <w:szCs w:val="26"/>
        </w:rPr>
        <w:t>Điều 5.</w:t>
      </w:r>
      <w:proofErr w:type="gramEnd"/>
      <w:r w:rsidRPr="004B4D41">
        <w:rPr>
          <w:b/>
          <w:bCs/>
          <w:sz w:val="26"/>
          <w:szCs w:val="26"/>
        </w:rPr>
        <w:t xml:space="preserve"> Hỗ trợ kinh phí giám sát dịch bệnh, hoạt động chốt kiểm dịch, vệ sinh khử trùng tiêu độc hàng năm</w:t>
      </w:r>
    </w:p>
    <w:p w:rsidR="008023B4" w:rsidRPr="004B4D41" w:rsidRDefault="008023B4" w:rsidP="004B4D41">
      <w:pPr>
        <w:pStyle w:val="NormalWeb"/>
        <w:spacing w:before="120" w:beforeAutospacing="0" w:after="120" w:afterAutospacing="0" w:line="360" w:lineRule="exact"/>
        <w:ind w:firstLine="567"/>
        <w:jc w:val="both"/>
        <w:rPr>
          <w:sz w:val="26"/>
          <w:szCs w:val="26"/>
        </w:rPr>
      </w:pPr>
      <w:r w:rsidRPr="004B4D41">
        <w:rPr>
          <w:sz w:val="26"/>
          <w:szCs w:val="26"/>
        </w:rPr>
        <w:t>1. Ngân sách tỉnh hỗ trợ 300 triệu đồng/năm cho kinh phí giám sát, xác minh dịch bệnh (chi phí trang thiết bị, dụng cụ vật tư chuyên ngành, hoá chất phục vụ chuẩn đoán xác minh dịch bệnh; kinh phí này được ngân sách tỉnh cấp bổ sung hàng năm cho Chi cục Thú y).</w:t>
      </w:r>
    </w:p>
    <w:p w:rsidR="008023B4" w:rsidRPr="004B4D41" w:rsidRDefault="008023B4" w:rsidP="004B4D41">
      <w:pPr>
        <w:pStyle w:val="NormalWeb"/>
        <w:spacing w:before="120" w:beforeAutospacing="0" w:after="120" w:afterAutospacing="0" w:line="360" w:lineRule="exact"/>
        <w:ind w:firstLine="567"/>
        <w:jc w:val="both"/>
        <w:rPr>
          <w:sz w:val="26"/>
          <w:szCs w:val="26"/>
        </w:rPr>
      </w:pPr>
      <w:r w:rsidRPr="004B4D41">
        <w:rPr>
          <w:sz w:val="26"/>
          <w:szCs w:val="26"/>
        </w:rPr>
        <w:t xml:space="preserve">2. Ngân sách tỉnh hỗ trợ 100% kinh phí hoạt động của các chốt kiểm dịch động vật liên ngành tại các đầu mối giao thông của tỉnh. Kinh phí hoạt động của đội kiểm soát dịch lưu động, chốt kiểm dịch động vật được thành lập </w:t>
      </w:r>
      <w:proofErr w:type="gramStart"/>
      <w:r w:rsidRPr="004B4D41">
        <w:rPr>
          <w:sz w:val="26"/>
          <w:szCs w:val="26"/>
        </w:rPr>
        <w:t>theo</w:t>
      </w:r>
      <w:proofErr w:type="gramEnd"/>
      <w:r w:rsidRPr="004B4D41">
        <w:rPr>
          <w:sz w:val="26"/>
          <w:szCs w:val="26"/>
        </w:rPr>
        <w:t xml:space="preserve"> quyết định của cấp huyện, cấp xã do cấp huyện, xã đảm nhiệm.</w:t>
      </w:r>
    </w:p>
    <w:p w:rsidR="008023B4" w:rsidRPr="004B4D41" w:rsidRDefault="008023B4" w:rsidP="004B4D41">
      <w:pPr>
        <w:pStyle w:val="NormalWeb"/>
        <w:spacing w:before="120" w:beforeAutospacing="0" w:after="120" w:afterAutospacing="0" w:line="360" w:lineRule="exact"/>
        <w:ind w:firstLine="567"/>
        <w:jc w:val="both"/>
        <w:rPr>
          <w:sz w:val="26"/>
          <w:szCs w:val="26"/>
        </w:rPr>
      </w:pPr>
      <w:r w:rsidRPr="004B4D41">
        <w:rPr>
          <w:sz w:val="26"/>
          <w:szCs w:val="26"/>
        </w:rPr>
        <w:t xml:space="preserve">3. Ngân sách tỉnh hỗ trợ 100% kinh phí mua hóa chất dự phòng. </w:t>
      </w:r>
      <w:proofErr w:type="gramStart"/>
      <w:r w:rsidRPr="004B4D41">
        <w:rPr>
          <w:sz w:val="26"/>
          <w:szCs w:val="26"/>
        </w:rPr>
        <w:t>Ngân sách huyện, xã đảm nhiệm kinh phí mua vôi bột, hóa chất xử lý vệ sinh khử trùng tiêu độc ở những nơi có nguy cơ cao về dịch bệnh.</w:t>
      </w:r>
      <w:proofErr w:type="gramEnd"/>
    </w:p>
    <w:p w:rsidR="008023B4" w:rsidRPr="004B4D41" w:rsidRDefault="008023B4" w:rsidP="004B4D41">
      <w:pPr>
        <w:pStyle w:val="NormalWeb"/>
        <w:spacing w:before="120" w:beforeAutospacing="0" w:after="120" w:afterAutospacing="0" w:line="360" w:lineRule="exact"/>
        <w:ind w:firstLine="567"/>
        <w:jc w:val="both"/>
        <w:rPr>
          <w:sz w:val="26"/>
          <w:szCs w:val="26"/>
        </w:rPr>
      </w:pPr>
      <w:proofErr w:type="gramStart"/>
      <w:r w:rsidRPr="004B4D41">
        <w:rPr>
          <w:b/>
          <w:bCs/>
          <w:sz w:val="26"/>
          <w:szCs w:val="26"/>
        </w:rPr>
        <w:t>Điều 6.</w:t>
      </w:r>
      <w:proofErr w:type="gramEnd"/>
      <w:r w:rsidRPr="004B4D41">
        <w:rPr>
          <w:b/>
          <w:bCs/>
          <w:sz w:val="26"/>
          <w:szCs w:val="26"/>
        </w:rPr>
        <w:t xml:space="preserve"> Công tác tuyên truyền tập huấn hàng năm</w:t>
      </w:r>
    </w:p>
    <w:p w:rsidR="008023B4" w:rsidRPr="004B4D41" w:rsidRDefault="008023B4" w:rsidP="004B4D41">
      <w:pPr>
        <w:pStyle w:val="NormalWeb"/>
        <w:spacing w:before="120" w:beforeAutospacing="0" w:after="120" w:afterAutospacing="0" w:line="360" w:lineRule="exact"/>
        <w:ind w:firstLine="567"/>
        <w:jc w:val="both"/>
        <w:rPr>
          <w:sz w:val="26"/>
          <w:szCs w:val="26"/>
        </w:rPr>
      </w:pPr>
      <w:r w:rsidRPr="004B4D41">
        <w:rPr>
          <w:sz w:val="26"/>
          <w:szCs w:val="26"/>
        </w:rPr>
        <w:t>Kinh phí thực hiện tuyên truyền trên các phương tiện thông tin đại chúng về tăng cường năng lực chủ động kiểm soát dịch bệnh trên gia súc, gia cầm ở cấp nào do ngân sách cấp đó chịu trách nhiệm.</w:t>
      </w:r>
    </w:p>
    <w:p w:rsidR="008023B4" w:rsidRPr="004B4D41" w:rsidRDefault="008023B4" w:rsidP="004B4D41">
      <w:pPr>
        <w:pStyle w:val="NormalWeb"/>
        <w:spacing w:before="120" w:beforeAutospacing="0" w:after="120" w:afterAutospacing="0" w:line="360" w:lineRule="exact"/>
        <w:ind w:firstLine="567"/>
        <w:jc w:val="both"/>
        <w:rPr>
          <w:sz w:val="26"/>
          <w:szCs w:val="26"/>
        </w:rPr>
      </w:pPr>
      <w:proofErr w:type="gramStart"/>
      <w:r w:rsidRPr="004B4D41">
        <w:rPr>
          <w:b/>
          <w:bCs/>
          <w:sz w:val="26"/>
          <w:szCs w:val="26"/>
        </w:rPr>
        <w:t>Điều 7.</w:t>
      </w:r>
      <w:proofErr w:type="gramEnd"/>
      <w:r w:rsidRPr="004B4D41">
        <w:rPr>
          <w:b/>
          <w:bCs/>
          <w:sz w:val="26"/>
          <w:szCs w:val="26"/>
        </w:rPr>
        <w:t xml:space="preserve"> Hỗ trợ kinh phí tiêu hủy gia súc, gia cầm </w:t>
      </w:r>
    </w:p>
    <w:p w:rsidR="008023B4" w:rsidRPr="004B4D41" w:rsidRDefault="008023B4" w:rsidP="004B4D41">
      <w:pPr>
        <w:pStyle w:val="NormalWeb"/>
        <w:spacing w:before="120" w:beforeAutospacing="0" w:after="120" w:afterAutospacing="0" w:line="360" w:lineRule="exact"/>
        <w:ind w:firstLine="567"/>
        <w:jc w:val="both"/>
        <w:rPr>
          <w:sz w:val="26"/>
          <w:szCs w:val="26"/>
        </w:rPr>
      </w:pPr>
      <w:r w:rsidRPr="004B4D41">
        <w:rPr>
          <w:sz w:val="26"/>
          <w:szCs w:val="26"/>
        </w:rPr>
        <w:t xml:space="preserve">Được hỗ trợ theo quy định tại Quyết định số 719/QĐ-TTg ngày 05/6/2008 và Quyết định số 1442/QĐ-TTg ngày 23/8/2011 của Thủ tướng Chính phủ về sửa đổi, bổ sung một số điều của Quyết định số 719/QĐ-TTg ngày 05/6/2008 về chính sách hỗ trợ, phòng chống dịch bệnh gia súc, gia cầm. </w:t>
      </w:r>
      <w:proofErr w:type="gramStart"/>
      <w:r w:rsidRPr="004B4D41">
        <w:rPr>
          <w:sz w:val="26"/>
          <w:szCs w:val="26"/>
        </w:rPr>
        <w:t>Ngân sách huyện, thành phố chủ động trong công tác hỗ trợ tiêu hủy gia súc, gia cầm khi chưa đủ điều kiện công bố dịch.</w:t>
      </w:r>
      <w:proofErr w:type="gramEnd"/>
    </w:p>
    <w:p w:rsidR="008023B4" w:rsidRPr="004B4D41" w:rsidRDefault="008023B4" w:rsidP="003D4988">
      <w:pPr>
        <w:pStyle w:val="NormalWeb"/>
        <w:spacing w:before="120" w:beforeAutospacing="0" w:after="120" w:afterAutospacing="0" w:line="360" w:lineRule="exact"/>
        <w:ind w:firstLine="567"/>
        <w:jc w:val="center"/>
        <w:rPr>
          <w:sz w:val="26"/>
          <w:szCs w:val="26"/>
        </w:rPr>
      </w:pPr>
      <w:r w:rsidRPr="004B4D41">
        <w:rPr>
          <w:b/>
          <w:bCs/>
          <w:sz w:val="26"/>
          <w:szCs w:val="26"/>
        </w:rPr>
        <w:t>Chương III</w:t>
      </w:r>
    </w:p>
    <w:p w:rsidR="008023B4" w:rsidRPr="004B4D41" w:rsidRDefault="008023B4" w:rsidP="003D4988">
      <w:pPr>
        <w:pStyle w:val="NormalWeb"/>
        <w:spacing w:before="120" w:beforeAutospacing="0" w:after="120" w:afterAutospacing="0" w:line="360" w:lineRule="exact"/>
        <w:ind w:firstLine="567"/>
        <w:jc w:val="center"/>
        <w:rPr>
          <w:sz w:val="26"/>
          <w:szCs w:val="26"/>
        </w:rPr>
      </w:pPr>
      <w:r w:rsidRPr="004B4D41">
        <w:rPr>
          <w:b/>
          <w:bCs/>
          <w:sz w:val="26"/>
          <w:szCs w:val="26"/>
        </w:rPr>
        <w:t>TỔ CHỨC THỰC HIỆN</w:t>
      </w:r>
    </w:p>
    <w:p w:rsidR="008023B4" w:rsidRPr="004B4D41" w:rsidRDefault="008023B4" w:rsidP="004B4D41">
      <w:pPr>
        <w:pStyle w:val="NormalWeb"/>
        <w:spacing w:before="120" w:beforeAutospacing="0" w:after="120" w:afterAutospacing="0" w:line="360" w:lineRule="exact"/>
        <w:ind w:firstLine="567"/>
        <w:jc w:val="both"/>
        <w:rPr>
          <w:sz w:val="26"/>
          <w:szCs w:val="26"/>
        </w:rPr>
      </w:pPr>
      <w:proofErr w:type="gramStart"/>
      <w:r w:rsidRPr="004B4D41">
        <w:rPr>
          <w:b/>
          <w:bCs/>
          <w:sz w:val="26"/>
          <w:szCs w:val="26"/>
        </w:rPr>
        <w:lastRenderedPageBreak/>
        <w:t>Điều 8.</w:t>
      </w:r>
      <w:proofErr w:type="gramEnd"/>
      <w:r w:rsidRPr="004B4D41">
        <w:rPr>
          <w:b/>
          <w:bCs/>
          <w:sz w:val="26"/>
          <w:szCs w:val="26"/>
        </w:rPr>
        <w:t xml:space="preserve"> Trách nhiệm của các sở, ngành liên quan và Ủy ban nhân dân các cấp</w:t>
      </w:r>
    </w:p>
    <w:p w:rsidR="008023B4" w:rsidRPr="004B4D41" w:rsidRDefault="008023B4" w:rsidP="004B4D41">
      <w:pPr>
        <w:pStyle w:val="NormalWeb"/>
        <w:spacing w:before="120" w:beforeAutospacing="0" w:after="120" w:afterAutospacing="0" w:line="360" w:lineRule="exact"/>
        <w:ind w:firstLine="567"/>
        <w:jc w:val="both"/>
        <w:rPr>
          <w:sz w:val="26"/>
          <w:szCs w:val="26"/>
        </w:rPr>
      </w:pPr>
      <w:r w:rsidRPr="004B4D41">
        <w:rPr>
          <w:sz w:val="26"/>
          <w:szCs w:val="26"/>
        </w:rPr>
        <w:t>1. Sở Kế hoạch và Đầu tư:</w:t>
      </w:r>
    </w:p>
    <w:p w:rsidR="008023B4" w:rsidRPr="004B4D41" w:rsidRDefault="008023B4" w:rsidP="004B4D41">
      <w:pPr>
        <w:pStyle w:val="NormalWeb"/>
        <w:spacing w:before="120" w:beforeAutospacing="0" w:after="120" w:afterAutospacing="0" w:line="360" w:lineRule="exact"/>
        <w:ind w:firstLine="567"/>
        <w:jc w:val="both"/>
        <w:rPr>
          <w:sz w:val="26"/>
          <w:szCs w:val="26"/>
        </w:rPr>
      </w:pPr>
      <w:r w:rsidRPr="004B4D41">
        <w:rPr>
          <w:sz w:val="26"/>
          <w:szCs w:val="26"/>
        </w:rPr>
        <w:t>a) Theo dõi tình hình thực hiện và báo cáo kết quả thực hiện cơ chế chính sách với Ủy ban nhân dân tỉnh.</w:t>
      </w:r>
    </w:p>
    <w:p w:rsidR="008023B4" w:rsidRPr="004B4D41" w:rsidRDefault="008023B4" w:rsidP="004B4D41">
      <w:pPr>
        <w:pStyle w:val="NormalWeb"/>
        <w:spacing w:before="120" w:beforeAutospacing="0" w:after="120" w:afterAutospacing="0" w:line="360" w:lineRule="exact"/>
        <w:ind w:firstLine="567"/>
        <w:jc w:val="both"/>
        <w:rPr>
          <w:sz w:val="26"/>
          <w:szCs w:val="26"/>
        </w:rPr>
      </w:pPr>
      <w:r w:rsidRPr="004B4D41">
        <w:rPr>
          <w:sz w:val="26"/>
          <w:szCs w:val="26"/>
        </w:rPr>
        <w:t>b) Nghiên cứu, sửa đổi chính sách hỗ trợ trình Ủy ban nhân dân tỉnh xem xét, quyết định khi cần thiết.</w:t>
      </w:r>
    </w:p>
    <w:p w:rsidR="008023B4" w:rsidRPr="004B4D41" w:rsidRDefault="008023B4" w:rsidP="004B4D41">
      <w:pPr>
        <w:pStyle w:val="NormalWeb"/>
        <w:spacing w:before="120" w:beforeAutospacing="0" w:after="120" w:afterAutospacing="0" w:line="360" w:lineRule="exact"/>
        <w:ind w:firstLine="567"/>
        <w:jc w:val="both"/>
        <w:rPr>
          <w:sz w:val="26"/>
          <w:szCs w:val="26"/>
        </w:rPr>
      </w:pPr>
      <w:r w:rsidRPr="004B4D41">
        <w:rPr>
          <w:sz w:val="26"/>
          <w:szCs w:val="26"/>
        </w:rPr>
        <w:t xml:space="preserve">2. Sở Tài chính: </w:t>
      </w:r>
    </w:p>
    <w:p w:rsidR="008023B4" w:rsidRPr="004B4D41" w:rsidRDefault="008023B4" w:rsidP="004B4D41">
      <w:pPr>
        <w:pStyle w:val="NormalWeb"/>
        <w:spacing w:before="120" w:beforeAutospacing="0" w:after="120" w:afterAutospacing="0" w:line="360" w:lineRule="exact"/>
        <w:ind w:firstLine="567"/>
        <w:jc w:val="both"/>
        <w:rPr>
          <w:sz w:val="26"/>
          <w:szCs w:val="26"/>
        </w:rPr>
      </w:pPr>
      <w:r w:rsidRPr="004B4D41">
        <w:rPr>
          <w:sz w:val="26"/>
          <w:szCs w:val="26"/>
        </w:rPr>
        <w:t xml:space="preserve">a) Chủ trì phối hợp với Sở Kế hoạch và Đầu tư và các sở, ban, ngành liên quan cân đối nguồn ngân sách và bố trí vốn hàng năm để thực hiện cơ chế hỗ trợ. </w:t>
      </w:r>
    </w:p>
    <w:p w:rsidR="008023B4" w:rsidRPr="004B4D41" w:rsidRDefault="008023B4" w:rsidP="004B4D41">
      <w:pPr>
        <w:pStyle w:val="NormalWeb"/>
        <w:spacing w:before="120" w:beforeAutospacing="0" w:after="120" w:afterAutospacing="0" w:line="360" w:lineRule="exact"/>
        <w:ind w:firstLine="567"/>
        <w:jc w:val="both"/>
        <w:rPr>
          <w:sz w:val="26"/>
          <w:szCs w:val="26"/>
        </w:rPr>
      </w:pPr>
      <w:r w:rsidRPr="004B4D41">
        <w:rPr>
          <w:sz w:val="26"/>
          <w:szCs w:val="26"/>
        </w:rPr>
        <w:t xml:space="preserve">b) Hướng dẫn về trình tự, thủ tục thực hiện cấp phát, thanh quyết toán kinh phí hỗ trợ </w:t>
      </w:r>
      <w:proofErr w:type="gramStart"/>
      <w:r w:rsidRPr="004B4D41">
        <w:rPr>
          <w:sz w:val="26"/>
          <w:szCs w:val="26"/>
        </w:rPr>
        <w:t>theo</w:t>
      </w:r>
      <w:proofErr w:type="gramEnd"/>
      <w:r w:rsidRPr="004B4D41">
        <w:rPr>
          <w:sz w:val="26"/>
          <w:szCs w:val="26"/>
        </w:rPr>
        <w:t xml:space="preserve"> quy định.</w:t>
      </w:r>
    </w:p>
    <w:p w:rsidR="008023B4" w:rsidRPr="004B4D41" w:rsidRDefault="008023B4" w:rsidP="004B4D41">
      <w:pPr>
        <w:pStyle w:val="NormalWeb"/>
        <w:spacing w:before="120" w:beforeAutospacing="0" w:after="120" w:afterAutospacing="0" w:line="360" w:lineRule="exact"/>
        <w:ind w:firstLine="567"/>
        <w:jc w:val="both"/>
        <w:rPr>
          <w:sz w:val="26"/>
          <w:szCs w:val="26"/>
        </w:rPr>
      </w:pPr>
      <w:r w:rsidRPr="004B4D41">
        <w:rPr>
          <w:sz w:val="26"/>
          <w:szCs w:val="26"/>
        </w:rPr>
        <w:t xml:space="preserve">c) Chủ trì thẩm định, thanh quyết toán; thanh tra, kiểm tra kinh phí hỗ trợ </w:t>
      </w:r>
      <w:proofErr w:type="gramStart"/>
      <w:r w:rsidRPr="004B4D41">
        <w:rPr>
          <w:sz w:val="26"/>
          <w:szCs w:val="26"/>
        </w:rPr>
        <w:t>theo</w:t>
      </w:r>
      <w:proofErr w:type="gramEnd"/>
      <w:r w:rsidRPr="004B4D41">
        <w:rPr>
          <w:sz w:val="26"/>
          <w:szCs w:val="26"/>
        </w:rPr>
        <w:t xml:space="preserve"> cơ chế chính sách và quy định hiện hành của Nhà nước.</w:t>
      </w:r>
    </w:p>
    <w:p w:rsidR="008023B4" w:rsidRPr="004B4D41" w:rsidRDefault="008023B4" w:rsidP="004B4D41">
      <w:pPr>
        <w:pStyle w:val="NormalWeb"/>
        <w:spacing w:before="120" w:beforeAutospacing="0" w:after="120" w:afterAutospacing="0" w:line="360" w:lineRule="exact"/>
        <w:ind w:firstLine="567"/>
        <w:jc w:val="both"/>
        <w:rPr>
          <w:sz w:val="26"/>
          <w:szCs w:val="26"/>
        </w:rPr>
      </w:pPr>
      <w:r w:rsidRPr="004B4D41">
        <w:rPr>
          <w:sz w:val="26"/>
          <w:szCs w:val="26"/>
        </w:rPr>
        <w:t>3. Sở Nông nghiệp và Phát triển nông thôn:</w:t>
      </w:r>
    </w:p>
    <w:p w:rsidR="008023B4" w:rsidRPr="004B4D41" w:rsidRDefault="008023B4" w:rsidP="004B4D41">
      <w:pPr>
        <w:pStyle w:val="NormalWeb"/>
        <w:spacing w:before="120" w:beforeAutospacing="0" w:after="120" w:afterAutospacing="0" w:line="360" w:lineRule="exact"/>
        <w:ind w:firstLine="567"/>
        <w:jc w:val="both"/>
        <w:rPr>
          <w:sz w:val="26"/>
          <w:szCs w:val="26"/>
        </w:rPr>
      </w:pPr>
      <w:r w:rsidRPr="004B4D41">
        <w:rPr>
          <w:sz w:val="26"/>
          <w:szCs w:val="26"/>
        </w:rPr>
        <w:t xml:space="preserve">a) Chỉ đạo Chi cục Thú y chủ động cung ứng các loại vắc xin, hóa chất đảm bảo tiến độ và yêu cầu của công tác phòng chống dịch bệnh; phối hợp với các cấp, ngành triển khai thực hiện các nội dung hỗ trợ </w:t>
      </w:r>
      <w:proofErr w:type="gramStart"/>
      <w:r w:rsidRPr="004B4D41">
        <w:rPr>
          <w:sz w:val="26"/>
          <w:szCs w:val="26"/>
        </w:rPr>
        <w:t>theo</w:t>
      </w:r>
      <w:proofErr w:type="gramEnd"/>
      <w:r w:rsidRPr="004B4D41">
        <w:rPr>
          <w:sz w:val="26"/>
          <w:szCs w:val="26"/>
        </w:rPr>
        <w:t xml:space="preserve"> quy định này.</w:t>
      </w:r>
    </w:p>
    <w:p w:rsidR="008023B4" w:rsidRPr="004B4D41" w:rsidRDefault="008023B4" w:rsidP="004B4D41">
      <w:pPr>
        <w:pStyle w:val="NormalWeb"/>
        <w:spacing w:before="120" w:beforeAutospacing="0" w:after="120" w:afterAutospacing="0" w:line="360" w:lineRule="exact"/>
        <w:ind w:firstLine="567"/>
        <w:jc w:val="both"/>
        <w:rPr>
          <w:sz w:val="26"/>
          <w:szCs w:val="26"/>
        </w:rPr>
      </w:pPr>
      <w:r w:rsidRPr="004B4D41">
        <w:rPr>
          <w:sz w:val="26"/>
          <w:szCs w:val="26"/>
        </w:rPr>
        <w:t xml:space="preserve">b) Chỉ đạo, kiểm tra, giám sát thực hiện cơ chế hỗ trợ của các đơn vị chức năng; kịp thời phản ánh đề xuất giải quyết các vướng mắc trong quá trình thực hiện. </w:t>
      </w:r>
    </w:p>
    <w:p w:rsidR="008023B4" w:rsidRPr="004B4D41" w:rsidRDefault="008023B4" w:rsidP="004B4D41">
      <w:pPr>
        <w:pStyle w:val="NormalWeb"/>
        <w:spacing w:before="120" w:beforeAutospacing="0" w:after="120" w:afterAutospacing="0" w:line="360" w:lineRule="exact"/>
        <w:ind w:firstLine="567"/>
        <w:jc w:val="both"/>
        <w:rPr>
          <w:sz w:val="26"/>
          <w:szCs w:val="26"/>
        </w:rPr>
      </w:pPr>
      <w:r w:rsidRPr="004B4D41">
        <w:rPr>
          <w:sz w:val="26"/>
          <w:szCs w:val="26"/>
        </w:rPr>
        <w:t xml:space="preserve">4. Các sở, ngành khác có liên quan trong phạm </w:t>
      </w:r>
      <w:proofErr w:type="gramStart"/>
      <w:r w:rsidRPr="004B4D41">
        <w:rPr>
          <w:sz w:val="26"/>
          <w:szCs w:val="26"/>
        </w:rPr>
        <w:t>vi</w:t>
      </w:r>
      <w:proofErr w:type="gramEnd"/>
      <w:r w:rsidRPr="004B4D41">
        <w:rPr>
          <w:sz w:val="26"/>
          <w:szCs w:val="26"/>
        </w:rPr>
        <w:t xml:space="preserve"> chức năng, nhiệm vụ, quyền hạn được giao, tổ chức thực hiện các nội dung của quy định này.</w:t>
      </w:r>
    </w:p>
    <w:p w:rsidR="008023B4" w:rsidRPr="004B4D41" w:rsidRDefault="008023B4" w:rsidP="004B4D41">
      <w:pPr>
        <w:pStyle w:val="NormalWeb"/>
        <w:spacing w:before="120" w:beforeAutospacing="0" w:after="120" w:afterAutospacing="0" w:line="360" w:lineRule="exact"/>
        <w:ind w:firstLine="567"/>
        <w:jc w:val="both"/>
        <w:rPr>
          <w:sz w:val="26"/>
          <w:szCs w:val="26"/>
        </w:rPr>
      </w:pPr>
      <w:r w:rsidRPr="004B4D41">
        <w:rPr>
          <w:sz w:val="26"/>
          <w:szCs w:val="26"/>
        </w:rPr>
        <w:t>5. Uỷ ban nhân dân huyện, thành phố:</w:t>
      </w:r>
    </w:p>
    <w:p w:rsidR="008023B4" w:rsidRPr="004B4D41" w:rsidRDefault="008023B4" w:rsidP="004B4D41">
      <w:pPr>
        <w:pStyle w:val="NormalWeb"/>
        <w:spacing w:before="120" w:beforeAutospacing="0" w:after="120" w:afterAutospacing="0" w:line="360" w:lineRule="exact"/>
        <w:ind w:firstLine="567"/>
        <w:jc w:val="both"/>
        <w:rPr>
          <w:sz w:val="26"/>
          <w:szCs w:val="26"/>
        </w:rPr>
      </w:pPr>
      <w:r w:rsidRPr="004B4D41">
        <w:rPr>
          <w:sz w:val="26"/>
          <w:szCs w:val="26"/>
        </w:rPr>
        <w:t xml:space="preserve">a) Chỉ đạo việc xây dựng kế hoạch và tổ chức thực hiện cơ chế trên địa bàn quản lý. </w:t>
      </w:r>
    </w:p>
    <w:p w:rsidR="008023B4" w:rsidRPr="004B4D41" w:rsidRDefault="008023B4" w:rsidP="004B4D41">
      <w:pPr>
        <w:pStyle w:val="NormalWeb"/>
        <w:spacing w:before="120" w:beforeAutospacing="0" w:after="120" w:afterAutospacing="0" w:line="360" w:lineRule="exact"/>
        <w:ind w:firstLine="567"/>
        <w:jc w:val="both"/>
        <w:rPr>
          <w:sz w:val="26"/>
          <w:szCs w:val="26"/>
        </w:rPr>
      </w:pPr>
      <w:r w:rsidRPr="004B4D41">
        <w:rPr>
          <w:sz w:val="26"/>
          <w:szCs w:val="26"/>
        </w:rPr>
        <w:t>b) Chủ động nguồn ngân sách địa phương thực hiện các hoạt động quy định trong cơ chế hỗ trợ.</w:t>
      </w:r>
    </w:p>
    <w:p w:rsidR="008023B4" w:rsidRPr="004B4D41" w:rsidRDefault="008023B4" w:rsidP="004B4D41">
      <w:pPr>
        <w:pStyle w:val="NormalWeb"/>
        <w:spacing w:before="120" w:beforeAutospacing="0" w:after="120" w:afterAutospacing="0" w:line="360" w:lineRule="exact"/>
        <w:ind w:firstLine="567"/>
        <w:jc w:val="both"/>
        <w:rPr>
          <w:sz w:val="26"/>
          <w:szCs w:val="26"/>
        </w:rPr>
      </w:pPr>
      <w:r w:rsidRPr="004B4D41">
        <w:rPr>
          <w:sz w:val="26"/>
          <w:szCs w:val="26"/>
        </w:rPr>
        <w:t xml:space="preserve">c) Chỉ đạo Ủy ban nhân dân cấp xã, các đơn vị liên quan trên địa bàn thực hiện các nhiệm vụ quản lý nhà nước chuyên ngành thú y trong phạm </w:t>
      </w:r>
      <w:proofErr w:type="gramStart"/>
      <w:r w:rsidRPr="004B4D41">
        <w:rPr>
          <w:sz w:val="26"/>
          <w:szCs w:val="26"/>
        </w:rPr>
        <w:t>vi</w:t>
      </w:r>
      <w:proofErr w:type="gramEnd"/>
      <w:r w:rsidRPr="004B4D41">
        <w:rPr>
          <w:sz w:val="26"/>
          <w:szCs w:val="26"/>
        </w:rPr>
        <w:t xml:space="preserve"> địa phương.</w:t>
      </w:r>
    </w:p>
    <w:p w:rsidR="008023B4" w:rsidRPr="004B4D41" w:rsidRDefault="008023B4" w:rsidP="004B4D41">
      <w:pPr>
        <w:pStyle w:val="NormalWeb"/>
        <w:spacing w:before="120" w:beforeAutospacing="0" w:after="120" w:afterAutospacing="0" w:line="360" w:lineRule="exact"/>
        <w:ind w:firstLine="567"/>
        <w:jc w:val="both"/>
        <w:rPr>
          <w:sz w:val="26"/>
          <w:szCs w:val="26"/>
        </w:rPr>
      </w:pPr>
      <w:r w:rsidRPr="004B4D41">
        <w:rPr>
          <w:sz w:val="26"/>
          <w:szCs w:val="26"/>
        </w:rPr>
        <w:t>6. Đài Phát thanh và Truyền hình Thái Bình, Báo Thái Bình, Uỷ ban nhân dân huyện, thành phố chủ động và phối hợp tuyên truyền rộng rãi cơ chế hỗ trợ tới cán bộ, nhân dân trong tỉnh.</w:t>
      </w:r>
    </w:p>
    <w:p w:rsidR="008023B4" w:rsidRPr="004B4D41" w:rsidRDefault="008023B4" w:rsidP="004B4D41">
      <w:pPr>
        <w:pStyle w:val="NormalWeb"/>
        <w:spacing w:before="120" w:beforeAutospacing="0" w:after="120" w:afterAutospacing="0" w:line="360" w:lineRule="exact"/>
        <w:ind w:firstLine="567"/>
        <w:jc w:val="both"/>
        <w:rPr>
          <w:sz w:val="26"/>
          <w:szCs w:val="26"/>
        </w:rPr>
      </w:pPr>
      <w:proofErr w:type="gramStart"/>
      <w:r w:rsidRPr="004B4D41">
        <w:rPr>
          <w:b/>
          <w:bCs/>
          <w:sz w:val="26"/>
          <w:szCs w:val="26"/>
        </w:rPr>
        <w:lastRenderedPageBreak/>
        <w:t>Điều 9.</w:t>
      </w:r>
      <w:proofErr w:type="gramEnd"/>
      <w:r w:rsidRPr="004B4D41">
        <w:rPr>
          <w:b/>
          <w:bCs/>
          <w:sz w:val="26"/>
          <w:szCs w:val="26"/>
        </w:rPr>
        <w:t xml:space="preserve"> Điều khoản thi hành</w:t>
      </w:r>
    </w:p>
    <w:p w:rsidR="008023B4" w:rsidRPr="004B4D41" w:rsidRDefault="008023B4" w:rsidP="004B4D41">
      <w:pPr>
        <w:pStyle w:val="NormalWeb"/>
        <w:spacing w:before="120" w:beforeAutospacing="0" w:after="120" w:afterAutospacing="0" w:line="360" w:lineRule="exact"/>
        <w:ind w:firstLine="567"/>
        <w:jc w:val="both"/>
        <w:rPr>
          <w:sz w:val="26"/>
          <w:szCs w:val="26"/>
        </w:rPr>
      </w:pPr>
      <w:proofErr w:type="gramStart"/>
      <w:r w:rsidRPr="004B4D41">
        <w:rPr>
          <w:sz w:val="26"/>
          <w:szCs w:val="26"/>
        </w:rPr>
        <w:t>Các cơ quan, tổ chức, cá nhân có liên quan chịu trách nhiệm thực hiện đúng quy định này.</w:t>
      </w:r>
      <w:proofErr w:type="gramEnd"/>
      <w:r w:rsidRPr="004B4D41">
        <w:rPr>
          <w:sz w:val="26"/>
          <w:szCs w:val="26"/>
        </w:rPr>
        <w:t xml:space="preserve"> Trong quá trình thực hiện nếu có vướng mắc kịp thời phản ánh về Sở Kế hoạch và Đầu tư để tổng hợp, báo cáo Uỷ ban nhân dân tỉnh xem xét, điều chỉnh, sửa đổi, bổ sung cho phù hợp./.</w:t>
      </w:r>
    </w:p>
    <w:p w:rsidR="00114E18" w:rsidRDefault="00114E18"/>
    <w:tbl>
      <w:tblPr>
        <w:tblW w:w="0" w:type="auto"/>
        <w:tblCellMar>
          <w:left w:w="0" w:type="dxa"/>
          <w:right w:w="0" w:type="dxa"/>
        </w:tblCellMar>
        <w:tblLook w:val="04A0"/>
      </w:tblPr>
      <w:tblGrid>
        <w:gridCol w:w="4308"/>
        <w:gridCol w:w="5160"/>
      </w:tblGrid>
      <w:tr w:rsidR="007A7A68" w:rsidRPr="007A7A68" w:rsidTr="007A7A68">
        <w:tc>
          <w:tcPr>
            <w:tcW w:w="4308" w:type="dxa"/>
            <w:tcMar>
              <w:top w:w="0" w:type="dxa"/>
              <w:left w:w="108" w:type="dxa"/>
              <w:bottom w:w="0" w:type="dxa"/>
              <w:right w:w="108" w:type="dxa"/>
            </w:tcMar>
            <w:hideMark/>
          </w:tcPr>
          <w:p w:rsidR="007A7A68" w:rsidRPr="007A7A68" w:rsidRDefault="007A7A68" w:rsidP="008C7F2D">
            <w:pPr>
              <w:pStyle w:val="NormalWeb"/>
              <w:spacing w:after="120" w:afterAutospacing="0"/>
              <w:rPr>
                <w:sz w:val="26"/>
                <w:szCs w:val="26"/>
              </w:rPr>
            </w:pPr>
            <w:r w:rsidRPr="007A7A68">
              <w:rPr>
                <w:b/>
                <w:bCs/>
                <w:sz w:val="26"/>
                <w:szCs w:val="26"/>
              </w:rPr>
              <w:t> </w:t>
            </w:r>
          </w:p>
        </w:tc>
        <w:tc>
          <w:tcPr>
            <w:tcW w:w="5160" w:type="dxa"/>
            <w:tcMar>
              <w:top w:w="0" w:type="dxa"/>
              <w:left w:w="108" w:type="dxa"/>
              <w:bottom w:w="0" w:type="dxa"/>
              <w:right w:w="108" w:type="dxa"/>
            </w:tcMar>
            <w:hideMark/>
          </w:tcPr>
          <w:p w:rsidR="007A7A68" w:rsidRPr="007A7A68" w:rsidRDefault="007A7A68" w:rsidP="008C7F2D">
            <w:pPr>
              <w:pStyle w:val="NormalWeb"/>
              <w:spacing w:after="120" w:afterAutospacing="0"/>
              <w:jc w:val="center"/>
              <w:rPr>
                <w:sz w:val="26"/>
                <w:szCs w:val="26"/>
              </w:rPr>
            </w:pPr>
            <w:r w:rsidRPr="007A7A68">
              <w:rPr>
                <w:b/>
                <w:bCs/>
                <w:sz w:val="26"/>
                <w:szCs w:val="26"/>
              </w:rPr>
              <w:t>TM. ỦY BAN NHÂN DÂN TỈNH</w:t>
            </w:r>
            <w:r w:rsidRPr="007A7A68">
              <w:rPr>
                <w:b/>
                <w:bCs/>
                <w:sz w:val="26"/>
                <w:szCs w:val="26"/>
              </w:rPr>
              <w:br/>
              <w:t>CHỦ TỊCH</w:t>
            </w:r>
            <w:r w:rsidRPr="007A7A68">
              <w:rPr>
                <w:b/>
                <w:bCs/>
                <w:sz w:val="26"/>
                <w:szCs w:val="26"/>
              </w:rPr>
              <w:br/>
            </w:r>
            <w:r w:rsidRPr="007A7A68">
              <w:rPr>
                <w:b/>
                <w:bCs/>
                <w:sz w:val="26"/>
                <w:szCs w:val="26"/>
              </w:rPr>
              <w:br/>
            </w:r>
            <w:r w:rsidRPr="007A7A68">
              <w:rPr>
                <w:b/>
                <w:bCs/>
                <w:sz w:val="26"/>
                <w:szCs w:val="26"/>
              </w:rPr>
              <w:t>(đã ký)</w:t>
            </w:r>
            <w:r w:rsidRPr="007A7A68">
              <w:rPr>
                <w:b/>
                <w:bCs/>
                <w:sz w:val="26"/>
                <w:szCs w:val="26"/>
              </w:rPr>
              <w:br/>
            </w:r>
            <w:r w:rsidRPr="007A7A68">
              <w:rPr>
                <w:b/>
                <w:bCs/>
                <w:sz w:val="26"/>
                <w:szCs w:val="26"/>
              </w:rPr>
              <w:br/>
              <w:t>Phạm Văn Sinh</w:t>
            </w:r>
          </w:p>
        </w:tc>
      </w:tr>
    </w:tbl>
    <w:p w:rsidR="007A7A68" w:rsidRPr="007A7A68" w:rsidRDefault="007A7A68">
      <w:pPr>
        <w:rPr>
          <w:sz w:val="26"/>
          <w:szCs w:val="26"/>
        </w:rPr>
      </w:pPr>
    </w:p>
    <w:sectPr w:rsidR="007A7A68" w:rsidRPr="007A7A68" w:rsidSect="00BA28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023B4"/>
    <w:rsid w:val="00000D97"/>
    <w:rsid w:val="0000300B"/>
    <w:rsid w:val="000036CE"/>
    <w:rsid w:val="00025311"/>
    <w:rsid w:val="00025402"/>
    <w:rsid w:val="0007076A"/>
    <w:rsid w:val="00071125"/>
    <w:rsid w:val="00080BE7"/>
    <w:rsid w:val="00087003"/>
    <w:rsid w:val="000B13E4"/>
    <w:rsid w:val="000B38E0"/>
    <w:rsid w:val="000C520A"/>
    <w:rsid w:val="000C64BB"/>
    <w:rsid w:val="000E233D"/>
    <w:rsid w:val="000F6CCD"/>
    <w:rsid w:val="00105B9B"/>
    <w:rsid w:val="00111898"/>
    <w:rsid w:val="00113B21"/>
    <w:rsid w:val="00114E18"/>
    <w:rsid w:val="00120F42"/>
    <w:rsid w:val="0012710F"/>
    <w:rsid w:val="00143558"/>
    <w:rsid w:val="00144586"/>
    <w:rsid w:val="0015299B"/>
    <w:rsid w:val="001576A4"/>
    <w:rsid w:val="00161490"/>
    <w:rsid w:val="00167883"/>
    <w:rsid w:val="00190E91"/>
    <w:rsid w:val="001911CD"/>
    <w:rsid w:val="00193D88"/>
    <w:rsid w:val="001A0833"/>
    <w:rsid w:val="001B0607"/>
    <w:rsid w:val="001B4ABA"/>
    <w:rsid w:val="001B6A12"/>
    <w:rsid w:val="001F671D"/>
    <w:rsid w:val="00226551"/>
    <w:rsid w:val="00230873"/>
    <w:rsid w:val="002463F1"/>
    <w:rsid w:val="0025138A"/>
    <w:rsid w:val="0025263B"/>
    <w:rsid w:val="00253792"/>
    <w:rsid w:val="00253CB6"/>
    <w:rsid w:val="00273BA7"/>
    <w:rsid w:val="00280FD9"/>
    <w:rsid w:val="00283D49"/>
    <w:rsid w:val="00287E08"/>
    <w:rsid w:val="00292A50"/>
    <w:rsid w:val="00295D53"/>
    <w:rsid w:val="002A2A76"/>
    <w:rsid w:val="002A3513"/>
    <w:rsid w:val="002B0474"/>
    <w:rsid w:val="002D32C0"/>
    <w:rsid w:val="0030336D"/>
    <w:rsid w:val="00303DD1"/>
    <w:rsid w:val="00317262"/>
    <w:rsid w:val="003253BB"/>
    <w:rsid w:val="003400EB"/>
    <w:rsid w:val="00341262"/>
    <w:rsid w:val="003541C5"/>
    <w:rsid w:val="00360BC6"/>
    <w:rsid w:val="00360D0A"/>
    <w:rsid w:val="003777CE"/>
    <w:rsid w:val="00381856"/>
    <w:rsid w:val="003861C4"/>
    <w:rsid w:val="003954E2"/>
    <w:rsid w:val="003A3955"/>
    <w:rsid w:val="003A542D"/>
    <w:rsid w:val="003A7EE6"/>
    <w:rsid w:val="003B044A"/>
    <w:rsid w:val="003B47C0"/>
    <w:rsid w:val="003B6900"/>
    <w:rsid w:val="003D4988"/>
    <w:rsid w:val="003E04D4"/>
    <w:rsid w:val="003E1151"/>
    <w:rsid w:val="003E7F15"/>
    <w:rsid w:val="003F0001"/>
    <w:rsid w:val="003F0D75"/>
    <w:rsid w:val="0041491B"/>
    <w:rsid w:val="00416814"/>
    <w:rsid w:val="00434DC4"/>
    <w:rsid w:val="00444A48"/>
    <w:rsid w:val="00453300"/>
    <w:rsid w:val="00456B8A"/>
    <w:rsid w:val="00462CF9"/>
    <w:rsid w:val="004776C9"/>
    <w:rsid w:val="00483840"/>
    <w:rsid w:val="00486D26"/>
    <w:rsid w:val="004A6B6F"/>
    <w:rsid w:val="004A79A1"/>
    <w:rsid w:val="004B4D41"/>
    <w:rsid w:val="004B77BD"/>
    <w:rsid w:val="004C4503"/>
    <w:rsid w:val="004C6FB3"/>
    <w:rsid w:val="004D0771"/>
    <w:rsid w:val="004D7BF3"/>
    <w:rsid w:val="004E6A96"/>
    <w:rsid w:val="004F2D2B"/>
    <w:rsid w:val="004F7753"/>
    <w:rsid w:val="00505E73"/>
    <w:rsid w:val="00510C7B"/>
    <w:rsid w:val="00513865"/>
    <w:rsid w:val="00517D46"/>
    <w:rsid w:val="00524781"/>
    <w:rsid w:val="00546354"/>
    <w:rsid w:val="00550F61"/>
    <w:rsid w:val="0056501C"/>
    <w:rsid w:val="00574206"/>
    <w:rsid w:val="00584F2B"/>
    <w:rsid w:val="005C0534"/>
    <w:rsid w:val="005C39E6"/>
    <w:rsid w:val="005E3408"/>
    <w:rsid w:val="00601849"/>
    <w:rsid w:val="006102FC"/>
    <w:rsid w:val="006364A5"/>
    <w:rsid w:val="00651C1A"/>
    <w:rsid w:val="00654ACC"/>
    <w:rsid w:val="00672C48"/>
    <w:rsid w:val="006814FA"/>
    <w:rsid w:val="00683A20"/>
    <w:rsid w:val="006919B6"/>
    <w:rsid w:val="00693EEE"/>
    <w:rsid w:val="006B7980"/>
    <w:rsid w:val="006D1A28"/>
    <w:rsid w:val="006D3981"/>
    <w:rsid w:val="006E49AF"/>
    <w:rsid w:val="006E6C5F"/>
    <w:rsid w:val="006E71BF"/>
    <w:rsid w:val="006F6E8E"/>
    <w:rsid w:val="007015C0"/>
    <w:rsid w:val="00707BA5"/>
    <w:rsid w:val="00711115"/>
    <w:rsid w:val="0072375E"/>
    <w:rsid w:val="0072776B"/>
    <w:rsid w:val="007435EE"/>
    <w:rsid w:val="007503CF"/>
    <w:rsid w:val="007545F2"/>
    <w:rsid w:val="00756B01"/>
    <w:rsid w:val="00763918"/>
    <w:rsid w:val="00765947"/>
    <w:rsid w:val="00765E05"/>
    <w:rsid w:val="00784B0F"/>
    <w:rsid w:val="007875CB"/>
    <w:rsid w:val="00792E63"/>
    <w:rsid w:val="007A1777"/>
    <w:rsid w:val="007A3B6D"/>
    <w:rsid w:val="007A7A68"/>
    <w:rsid w:val="007B1B44"/>
    <w:rsid w:val="007B49FC"/>
    <w:rsid w:val="007C0DC1"/>
    <w:rsid w:val="007E0B00"/>
    <w:rsid w:val="00800FC6"/>
    <w:rsid w:val="008023B4"/>
    <w:rsid w:val="00817492"/>
    <w:rsid w:val="00820304"/>
    <w:rsid w:val="00821290"/>
    <w:rsid w:val="00827948"/>
    <w:rsid w:val="00840C43"/>
    <w:rsid w:val="00841169"/>
    <w:rsid w:val="00847C7F"/>
    <w:rsid w:val="00865C80"/>
    <w:rsid w:val="00866831"/>
    <w:rsid w:val="00883142"/>
    <w:rsid w:val="00885353"/>
    <w:rsid w:val="00894FB1"/>
    <w:rsid w:val="008B7BE8"/>
    <w:rsid w:val="008C1AED"/>
    <w:rsid w:val="008C2551"/>
    <w:rsid w:val="008C26C7"/>
    <w:rsid w:val="008D6B9E"/>
    <w:rsid w:val="00903EAF"/>
    <w:rsid w:val="00904FF7"/>
    <w:rsid w:val="009068B9"/>
    <w:rsid w:val="00926BD1"/>
    <w:rsid w:val="00930DD6"/>
    <w:rsid w:val="0093273F"/>
    <w:rsid w:val="00933ED5"/>
    <w:rsid w:val="009410E4"/>
    <w:rsid w:val="009521C3"/>
    <w:rsid w:val="00956C42"/>
    <w:rsid w:val="009619AC"/>
    <w:rsid w:val="00962817"/>
    <w:rsid w:val="00976873"/>
    <w:rsid w:val="0097784B"/>
    <w:rsid w:val="009806AF"/>
    <w:rsid w:val="009835B2"/>
    <w:rsid w:val="009D3FA6"/>
    <w:rsid w:val="009D4EB0"/>
    <w:rsid w:val="009D7B25"/>
    <w:rsid w:val="009E2FE0"/>
    <w:rsid w:val="009E4D9E"/>
    <w:rsid w:val="009F0BB3"/>
    <w:rsid w:val="00A0036E"/>
    <w:rsid w:val="00A336CE"/>
    <w:rsid w:val="00A4365D"/>
    <w:rsid w:val="00A45E6B"/>
    <w:rsid w:val="00A53528"/>
    <w:rsid w:val="00A55B2F"/>
    <w:rsid w:val="00A87D9B"/>
    <w:rsid w:val="00AB255F"/>
    <w:rsid w:val="00AB40A3"/>
    <w:rsid w:val="00AB59CB"/>
    <w:rsid w:val="00AC1008"/>
    <w:rsid w:val="00AD3274"/>
    <w:rsid w:val="00AD660A"/>
    <w:rsid w:val="00AD6C7E"/>
    <w:rsid w:val="00AE42E7"/>
    <w:rsid w:val="00B31473"/>
    <w:rsid w:val="00B418A0"/>
    <w:rsid w:val="00B44D91"/>
    <w:rsid w:val="00B576E1"/>
    <w:rsid w:val="00B57F5C"/>
    <w:rsid w:val="00B60BAC"/>
    <w:rsid w:val="00B635EA"/>
    <w:rsid w:val="00B6541A"/>
    <w:rsid w:val="00B66834"/>
    <w:rsid w:val="00B749AA"/>
    <w:rsid w:val="00B77A99"/>
    <w:rsid w:val="00B77EAD"/>
    <w:rsid w:val="00B83DB5"/>
    <w:rsid w:val="00B855C0"/>
    <w:rsid w:val="00BA0082"/>
    <w:rsid w:val="00BA00FB"/>
    <w:rsid w:val="00BA2891"/>
    <w:rsid w:val="00BA743B"/>
    <w:rsid w:val="00BB1D0E"/>
    <w:rsid w:val="00BC496A"/>
    <w:rsid w:val="00BF2868"/>
    <w:rsid w:val="00C33A39"/>
    <w:rsid w:val="00C3705D"/>
    <w:rsid w:val="00C707CE"/>
    <w:rsid w:val="00CA7BB4"/>
    <w:rsid w:val="00CC7E66"/>
    <w:rsid w:val="00CE047A"/>
    <w:rsid w:val="00CE0C45"/>
    <w:rsid w:val="00CF6715"/>
    <w:rsid w:val="00CF70DC"/>
    <w:rsid w:val="00D03143"/>
    <w:rsid w:val="00D4333B"/>
    <w:rsid w:val="00D5410D"/>
    <w:rsid w:val="00D552AB"/>
    <w:rsid w:val="00D62118"/>
    <w:rsid w:val="00D641D9"/>
    <w:rsid w:val="00D758EA"/>
    <w:rsid w:val="00D8173A"/>
    <w:rsid w:val="00D8334B"/>
    <w:rsid w:val="00D85EC7"/>
    <w:rsid w:val="00D9331F"/>
    <w:rsid w:val="00D93330"/>
    <w:rsid w:val="00D93A15"/>
    <w:rsid w:val="00DA21F4"/>
    <w:rsid w:val="00DA5E2F"/>
    <w:rsid w:val="00DB57F1"/>
    <w:rsid w:val="00DB5E56"/>
    <w:rsid w:val="00DC5DF2"/>
    <w:rsid w:val="00DD5C84"/>
    <w:rsid w:val="00DE7024"/>
    <w:rsid w:val="00E0309C"/>
    <w:rsid w:val="00E15686"/>
    <w:rsid w:val="00E25C9E"/>
    <w:rsid w:val="00E70C26"/>
    <w:rsid w:val="00E86765"/>
    <w:rsid w:val="00EA32CC"/>
    <w:rsid w:val="00EA4A00"/>
    <w:rsid w:val="00EB0B8F"/>
    <w:rsid w:val="00EC4CB3"/>
    <w:rsid w:val="00ED0B52"/>
    <w:rsid w:val="00EE6CEC"/>
    <w:rsid w:val="00EF69C8"/>
    <w:rsid w:val="00EF7B9B"/>
    <w:rsid w:val="00F3513E"/>
    <w:rsid w:val="00F35CDF"/>
    <w:rsid w:val="00F4336F"/>
    <w:rsid w:val="00F53C25"/>
    <w:rsid w:val="00F55342"/>
    <w:rsid w:val="00F72194"/>
    <w:rsid w:val="00F72C2C"/>
    <w:rsid w:val="00F7365D"/>
    <w:rsid w:val="00F81986"/>
    <w:rsid w:val="00FA604D"/>
    <w:rsid w:val="00FB0AAA"/>
    <w:rsid w:val="00FB1730"/>
    <w:rsid w:val="00FB4480"/>
    <w:rsid w:val="00FB5587"/>
    <w:rsid w:val="00FE4A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3B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23B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D37EF1-BB06-4C00-957D-C8DE6D386248}"/>
</file>

<file path=customXml/itemProps2.xml><?xml version="1.0" encoding="utf-8"?>
<ds:datastoreItem xmlns:ds="http://schemas.openxmlformats.org/officeDocument/2006/customXml" ds:itemID="{B05011CA-D892-468C-A7D8-1FFA12AEAF3F}"/>
</file>

<file path=customXml/itemProps3.xml><?xml version="1.0" encoding="utf-8"?>
<ds:datastoreItem xmlns:ds="http://schemas.openxmlformats.org/officeDocument/2006/customXml" ds:itemID="{F362E306-585C-4454-AE46-A06E9B3B711B}"/>
</file>

<file path=docProps/app.xml><?xml version="1.0" encoding="utf-8"?>
<Properties xmlns="http://schemas.openxmlformats.org/officeDocument/2006/extended-properties" xmlns:vt="http://schemas.openxmlformats.org/officeDocument/2006/docPropsVTypes">
  <Template>Normal</Template>
  <TotalTime>14</TotalTime>
  <Pages>4</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Truong</dc:creator>
  <cp:keywords/>
  <dc:description/>
  <cp:lastModifiedBy>Nguyen Truong</cp:lastModifiedBy>
  <cp:revision>5</cp:revision>
  <dcterms:created xsi:type="dcterms:W3CDTF">2015-03-09T06:31:00Z</dcterms:created>
  <dcterms:modified xsi:type="dcterms:W3CDTF">2015-03-09T06:47:00Z</dcterms:modified>
</cp:coreProperties>
</file>